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0"/>
        <w:gridCol w:w="6406"/>
        <w:tblGridChange w:id="0">
          <w:tblGrid>
            <w:gridCol w:w="3700"/>
            <w:gridCol w:w="6406"/>
          </w:tblGrid>
        </w:tblGridChange>
      </w:tblGrid>
      <w:tr>
        <w:trPr>
          <w:cantSplit w:val="0"/>
          <w:trHeight w:val="890" w:hRule="atLeast"/>
          <w:tblHeader w:val="0"/>
        </w:trPr>
        <w:tc>
          <w:tcPr>
            <w:vMerge w:val="restart"/>
          </w:tcPr>
          <w:p w:rsidR="00000000" w:rsidDel="00000000" w:rsidP="00000000" w:rsidRDefault="00000000" w:rsidRPr="00000000" w14:paraId="00000002">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50131" cy="1086197"/>
                  <wp:effectExtent b="0" l="0" r="0" t="0"/>
                  <wp:docPr descr="C:\Users\Shahid\AppData\Local\Microsoft\Windows\INetCache\Content.Word\download.jpg" id="1" name="image1.png"/>
                  <a:graphic>
                    <a:graphicData uri="http://schemas.openxmlformats.org/drawingml/2006/picture">
                      <pic:pic>
                        <pic:nvPicPr>
                          <pic:cNvPr descr="C:\Users\Shahid\AppData\Local\Microsoft\Windows\INetCache\Content.Word\download.jpg" id="0" name="image1.png"/>
                          <pic:cNvPicPr preferRelativeResize="0"/>
                        </pic:nvPicPr>
                        <pic:blipFill>
                          <a:blip r:embed="rId6"/>
                          <a:srcRect b="0" l="0" r="0" t="-8571"/>
                          <a:stretch>
                            <a:fillRect/>
                          </a:stretch>
                        </pic:blipFill>
                        <pic:spPr>
                          <a:xfrm>
                            <a:off x="0" y="0"/>
                            <a:ext cx="1050131" cy="108619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338455</wp:posOffset>
                  </wp:positionH>
                  <wp:positionV relativeFrom="paragraph">
                    <wp:posOffset>-626109</wp:posOffset>
                  </wp:positionV>
                  <wp:extent cx="962025" cy="9620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62025" cy="962025"/>
                          </a:xfrm>
                          <a:prstGeom prst="rect"/>
                          <a:ln/>
                        </pic:spPr>
                      </pic:pic>
                    </a:graphicData>
                  </a:graphic>
                </wp:anchor>
              </w:drawing>
            </w:r>
          </w:p>
        </w:tc>
        <w:tc>
          <w:tcPr>
            <w:tcBorders>
              <w:bottom w:color="000000" w:space="0" w:sz="4" w:val="single"/>
            </w:tcBorders>
            <w:shd w:fill="7f7f7f" w:val="clear"/>
            <w:vAlign w:val="center"/>
          </w:tcPr>
          <w:p w:rsidR="00000000" w:rsidDel="00000000" w:rsidP="00000000" w:rsidRDefault="00000000" w:rsidRPr="00000000" w14:paraId="00000003">
            <w:pPr>
              <w:rPr>
                <w:rFonts w:ascii="Times New Roman" w:cs="Times New Roman" w:eastAsia="Times New Roman" w:hAnsi="Times New Roman"/>
                <w:b w:val="1"/>
                <w:color w:val="ffffff"/>
                <w:sz w:val="32"/>
                <w:szCs w:val="32"/>
              </w:rPr>
            </w:pPr>
            <w:r w:rsidDel="00000000" w:rsidR="00000000" w:rsidRPr="00000000">
              <w:rPr>
                <w:rFonts w:ascii="Times New Roman" w:cs="Times New Roman" w:eastAsia="Times New Roman" w:hAnsi="Times New Roman"/>
                <w:b w:val="1"/>
                <w:color w:val="ffffff"/>
                <w:sz w:val="32"/>
                <w:szCs w:val="32"/>
                <w:rtl w:val="0"/>
              </w:rPr>
              <w:t xml:space="preserve">(Revised)</w:t>
            </w:r>
          </w:p>
          <w:p w:rsidR="00000000" w:rsidDel="00000000" w:rsidP="00000000" w:rsidRDefault="00000000" w:rsidRPr="00000000" w14:paraId="00000004">
            <w:pPr>
              <w:rPr>
                <w:rFonts w:ascii="Times New Roman" w:cs="Times New Roman" w:eastAsia="Times New Roman" w:hAnsi="Times New Roman"/>
                <w:b w:val="1"/>
                <w:color w:val="ffffff"/>
                <w:sz w:val="36"/>
                <w:szCs w:val="36"/>
              </w:rPr>
            </w:pPr>
            <w:r w:rsidDel="00000000" w:rsidR="00000000" w:rsidRPr="00000000">
              <w:rPr>
                <w:rFonts w:ascii="Times New Roman" w:cs="Times New Roman" w:eastAsia="Times New Roman" w:hAnsi="Times New Roman"/>
                <w:b w:val="1"/>
                <w:color w:val="ffffff"/>
                <w:sz w:val="32"/>
                <w:szCs w:val="32"/>
                <w:rtl w:val="0"/>
              </w:rPr>
              <w:t xml:space="preserve">Faculty Positions on Visiting Basis </w:t>
            </w:r>
            <w:r w:rsidDel="00000000" w:rsidR="00000000" w:rsidRPr="00000000">
              <w:rPr>
                <w:rtl w:val="0"/>
              </w:rPr>
            </w:r>
          </w:p>
        </w:tc>
      </w:tr>
      <w:tr>
        <w:trPr>
          <w:cantSplit w:val="0"/>
          <w:trHeight w:val="1025" w:hRule="atLeast"/>
          <w:tblHeader w:val="0"/>
        </w:trPr>
        <w:tc>
          <w:tcPr>
            <w:vMerge w:val="continue"/>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36"/>
                <w:szCs w:val="36"/>
              </w:rPr>
            </w:pPr>
            <w:r w:rsidDel="00000000" w:rsidR="00000000" w:rsidRPr="00000000">
              <w:rPr>
                <w:rtl w:val="0"/>
              </w:rPr>
            </w:r>
          </w:p>
        </w:tc>
        <w:tc>
          <w:tcPr>
            <w:tcBorders>
              <w:top w:color="000000" w:space="0" w:sz="4" w:val="single"/>
              <w:bottom w:color="000000" w:space="0" w:sz="4" w:val="single"/>
            </w:tcBorders>
            <w:shd w:fill="000000" w:val="clear"/>
            <w:vAlign w:val="center"/>
          </w:tcPr>
          <w:p w:rsidR="00000000" w:rsidDel="00000000" w:rsidP="00000000" w:rsidRDefault="00000000" w:rsidRPr="00000000" w14:paraId="00000006">
            <w:pPr>
              <w:spacing w:after="0" w:lineRule="auto"/>
              <w:rPr>
                <w:rFonts w:ascii="Times New Roman" w:cs="Times New Roman" w:eastAsia="Times New Roman" w:hAnsi="Times New Roman"/>
                <w:color w:val="ffffff"/>
                <w:sz w:val="48"/>
                <w:szCs w:val="48"/>
              </w:rPr>
            </w:pPr>
            <w:r w:rsidDel="00000000" w:rsidR="00000000" w:rsidRPr="00000000">
              <w:rPr>
                <w:rFonts w:ascii="Times New Roman" w:cs="Times New Roman" w:eastAsia="Times New Roman" w:hAnsi="Times New Roman"/>
                <w:color w:val="ffffff"/>
                <w:sz w:val="48"/>
                <w:szCs w:val="48"/>
                <w:rtl w:val="0"/>
              </w:rPr>
              <w:t xml:space="preserve">College of Law</w:t>
            </w:r>
          </w:p>
          <w:p w:rsidR="00000000" w:rsidDel="00000000" w:rsidP="00000000" w:rsidRDefault="00000000" w:rsidRPr="00000000" w14:paraId="00000007">
            <w:pPr>
              <w:spacing w:after="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ffffff"/>
                <w:sz w:val="36"/>
                <w:szCs w:val="36"/>
                <w:rtl w:val="0"/>
              </w:rPr>
              <w:t xml:space="preserve">University of Sargodha</w:t>
            </w:r>
            <w:r w:rsidDel="00000000" w:rsidR="00000000" w:rsidRPr="00000000">
              <w:rPr>
                <w:rtl w:val="0"/>
              </w:rPr>
            </w:r>
          </w:p>
        </w:tc>
      </w:tr>
      <w:tr>
        <w:trPr>
          <w:cantSplit w:val="0"/>
          <w:trHeight w:val="496" w:hRule="atLeast"/>
          <w:tblHeader w:val="0"/>
        </w:trPr>
        <w:tc>
          <w:tcPr>
            <w:gridSpan w:val="2"/>
            <w:shd w:fill="ffffff" w:val="clear"/>
            <w:vAlign w:val="bottom"/>
          </w:tcPr>
          <w:p w:rsidR="00000000" w:rsidDel="00000000" w:rsidP="00000000" w:rsidRDefault="00000000" w:rsidRPr="00000000" w14:paraId="00000008">
            <w:pPr>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rtl w:val="0"/>
              </w:rPr>
              <w:t xml:space="preserve">Applications for the following positions are invited from Pakistani nationals for Fall </w:t>
            </w:r>
            <w:r w:rsidDel="00000000" w:rsidR="00000000" w:rsidRPr="00000000">
              <w:rPr>
                <w:rFonts w:ascii="Times New Roman" w:cs="Times New Roman" w:eastAsia="Times New Roman" w:hAnsi="Times New Roman"/>
                <w:sz w:val="20"/>
                <w:szCs w:val="20"/>
                <w:rtl w:val="0"/>
              </w:rPr>
              <w:t xml:space="preserve">&amp;</w:t>
            </w:r>
            <w:r w:rsidDel="00000000" w:rsidR="00000000" w:rsidRPr="00000000">
              <w:rPr>
                <w:rFonts w:ascii="Times New Roman" w:cs="Times New Roman" w:eastAsia="Times New Roman" w:hAnsi="Times New Roman"/>
                <w:rtl w:val="0"/>
              </w:rPr>
              <w:t xml:space="preserve"> Spring semester 2022-23</w:t>
            </w:r>
            <w:r w:rsidDel="00000000" w:rsidR="00000000" w:rsidRPr="00000000">
              <w:rPr>
                <w:rtl w:val="0"/>
              </w:rPr>
            </w:r>
          </w:p>
        </w:tc>
      </w:tr>
      <w:tr>
        <w:trPr>
          <w:cantSplit w:val="0"/>
          <w:trHeight w:val="404" w:hRule="atLeast"/>
          <w:tblHeader w:val="0"/>
        </w:trPr>
        <w:tc>
          <w:tcPr>
            <w:gridSpan w:val="2"/>
            <w:shd w:fill="000000" w:val="clear"/>
            <w:vAlign w:val="center"/>
          </w:tcPr>
          <w:p w:rsidR="00000000" w:rsidDel="00000000" w:rsidP="00000000" w:rsidRDefault="00000000" w:rsidRPr="00000000" w14:paraId="0000000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Teaching Faculty</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tbl>
      <w:tblPr>
        <w:tblStyle w:val="Table2"/>
        <w:tblW w:w="10139.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2"/>
        <w:gridCol w:w="771"/>
        <w:gridCol w:w="1123"/>
        <w:gridCol w:w="1505"/>
        <w:gridCol w:w="770"/>
        <w:gridCol w:w="1844"/>
        <w:gridCol w:w="3504"/>
        <w:tblGridChange w:id="0">
          <w:tblGrid>
            <w:gridCol w:w="622"/>
            <w:gridCol w:w="771"/>
            <w:gridCol w:w="1123"/>
            <w:gridCol w:w="1505"/>
            <w:gridCol w:w="770"/>
            <w:gridCol w:w="1844"/>
            <w:gridCol w:w="3504"/>
          </w:tblGrid>
        </w:tblGridChange>
      </w:tblGrid>
      <w:tr>
        <w:trPr>
          <w:cantSplit w:val="0"/>
          <w:trHeight w:val="310" w:hRule="atLeast"/>
          <w:tblHeader w:val="0"/>
        </w:trPr>
        <w:tc>
          <w:tcPr>
            <w:shd w:fill="a6a6a6" w:val="cle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w:t>
            </w:r>
          </w:p>
        </w:tc>
        <w:tc>
          <w:tcPr>
            <w:gridSpan w:val="2"/>
            <w:shd w:fill="d9d9d9" w:val="cle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Positions </w:t>
            </w:r>
          </w:p>
        </w:tc>
        <w:tc>
          <w:tcPr>
            <w:shd w:fill="d9d9d9" w:val="clear"/>
          </w:tcPr>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w:t>
            </w:r>
          </w:p>
        </w:tc>
        <w:tc>
          <w:tcPr>
            <w:shd w:fill="d9d9d9" w:val="clear"/>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Posts</w:t>
            </w:r>
          </w:p>
        </w:tc>
        <w:tc>
          <w:tcPr>
            <w:shd w:fill="d9d9d9" w:val="clear"/>
            <w:vAlign w:val="center"/>
          </w:tcPr>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 of Post</w:t>
            </w:r>
          </w:p>
        </w:tc>
        <w:tc>
          <w:tcPr>
            <w:shd w:fill="d9d9d9" w:val="clea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Eligibility Criteria</w:t>
            </w:r>
          </w:p>
        </w:tc>
      </w:tr>
      <w:tr>
        <w:trPr>
          <w:cantSplit w:val="0"/>
          <w:trHeight w:val="1601" w:hRule="atLeast"/>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Pr>
          <w:p w:rsidR="00000000" w:rsidDel="00000000" w:rsidP="00000000" w:rsidRDefault="00000000" w:rsidRPr="00000000" w14:paraId="0000001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Assistant Professor</w:t>
            </w:r>
          </w:p>
        </w:tc>
        <w:tc>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CPC</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CRPC</w:t>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0"/>
                <w:szCs w:val="20"/>
              </w:rPr>
            </w:pPr>
            <w:bookmarkStart w:colFirst="0" w:colLast="0" w:name="_gjdgxs" w:id="0"/>
            <w:bookmarkEnd w:id="0"/>
            <w:r w:rsidDel="00000000" w:rsidR="00000000" w:rsidRPr="00000000">
              <w:rPr>
                <w:rFonts w:ascii="Times New Roman" w:cs="Times New Roman" w:eastAsia="Times New Roman" w:hAnsi="Times New Roman"/>
                <w:b w:val="1"/>
                <w:sz w:val="20"/>
                <w:szCs w:val="20"/>
                <w:rtl w:val="0"/>
              </w:rPr>
              <w:t xml:space="preserve">Comparative Environmental Law, Taxation</w:t>
            </w:r>
          </w:p>
        </w:tc>
        <w:tc>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04</w:t>
            </w:r>
          </w:p>
        </w:tc>
        <w:tc>
          <w:tcPr/>
          <w:p w:rsidR="00000000" w:rsidDel="00000000" w:rsidP="00000000" w:rsidRDefault="00000000" w:rsidRPr="00000000" w14:paraId="0000001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Faculty</w:t>
            </w:r>
          </w:p>
          <w:p w:rsidR="00000000" w:rsidDel="00000000" w:rsidP="00000000" w:rsidRDefault="00000000" w:rsidRPr="00000000" w14:paraId="0000001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 merit, </w:t>
            </w:r>
            <w:r w:rsidDel="00000000" w:rsidR="00000000" w:rsidRPr="00000000">
              <w:rPr>
                <w:rFonts w:ascii="Times New Roman" w:cs="Times New Roman" w:eastAsia="Times New Roman" w:hAnsi="Times New Roman"/>
                <w:rtl w:val="0"/>
              </w:rPr>
              <w:t xml:space="preserve">for Fall &amp; Spring semester 2022-23)</w:t>
            </w:r>
            <w:r w:rsidDel="00000000" w:rsidR="00000000" w:rsidRPr="00000000">
              <w:rPr>
                <w:rtl w:val="0"/>
              </w:rPr>
            </w:r>
          </w:p>
        </w:tc>
        <w:tc>
          <w:tcPr/>
          <w:p w:rsidR="00000000" w:rsidDel="00000000" w:rsidP="00000000" w:rsidRDefault="00000000" w:rsidRPr="00000000" w14:paraId="0000001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Qualification:-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LLB having 05 Years standing as Advocate of High Court (Criteria settled by Supreme Court in Constitution Petition No. 134/2012 dated 13-12-2018).</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Preference will be given to LLM.</w:t>
            </w:r>
          </w:p>
        </w:tc>
      </w:tr>
      <w:tr>
        <w:trPr>
          <w:cantSplit w:val="0"/>
          <w:trHeight w:val="1601" w:hRule="atLeast"/>
          <w:tblHeader w:val="0"/>
        </w:trPr>
        <w:tc>
          <w:tcPr/>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Pr>
          <w:p w:rsidR="00000000" w:rsidDel="00000000" w:rsidP="00000000" w:rsidRDefault="00000000" w:rsidRPr="00000000" w14:paraId="0000002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Lecturers</w:t>
            </w:r>
          </w:p>
          <w:p w:rsidR="00000000" w:rsidDel="00000000" w:rsidP="00000000" w:rsidRDefault="00000000" w:rsidRPr="00000000" w14:paraId="0000002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General</w:t>
            </w:r>
          </w:p>
        </w:tc>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0"/>
                <w:szCs w:val="20"/>
                <w:rtl w:val="0"/>
              </w:rPr>
              <w:t xml:space="preserve">02</w:t>
            </w: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Faculty</w:t>
            </w:r>
          </w:p>
          <w:p w:rsidR="00000000" w:rsidDel="00000000" w:rsidP="00000000" w:rsidRDefault="00000000" w:rsidRPr="00000000" w14:paraId="0000002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 merit, </w:t>
            </w:r>
            <w:r w:rsidDel="00000000" w:rsidR="00000000" w:rsidRPr="00000000">
              <w:rPr>
                <w:rFonts w:ascii="Times New Roman" w:cs="Times New Roman" w:eastAsia="Times New Roman" w:hAnsi="Times New Roman"/>
                <w:rtl w:val="0"/>
              </w:rPr>
              <w:t xml:space="preserve">for Fall &amp; Spring semester 2022-23)</w:t>
            </w:r>
            <w:r w:rsidDel="00000000" w:rsidR="00000000" w:rsidRPr="00000000">
              <w:rPr>
                <w:rtl w:val="0"/>
              </w:rPr>
            </w:r>
          </w:p>
        </w:tc>
        <w:tc>
          <w:tcPr/>
          <w:p w:rsidR="00000000" w:rsidDel="00000000" w:rsidP="00000000" w:rsidRDefault="00000000" w:rsidRPr="00000000" w14:paraId="0000002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Qualification:-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LLB having 05 Years standing as Advocate of High Court (Criteria settled by Supreme Court in Constitution Petition No. 134/2012 dated 13-12-2018).</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Preference will be given to LLM.</w:t>
            </w:r>
          </w:p>
        </w:tc>
      </w:tr>
      <w:tr>
        <w:trPr>
          <w:cantSplit w:val="0"/>
          <w:trHeight w:val="310" w:hRule="atLeast"/>
          <w:tblHeader w:val="0"/>
        </w:trPr>
        <w:tc>
          <w:tcPr>
            <w:gridSpan w:val="3"/>
            <w:shd w:fill="000000" w:val="cle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w:t>
            </w:r>
          </w:p>
        </w:tc>
        <w:tc>
          <w:tcPr>
            <w:shd w:fill="000000" w:val="clear"/>
          </w:tcPr>
          <w:p w:rsidR="00000000" w:rsidDel="00000000" w:rsidP="00000000" w:rsidRDefault="00000000" w:rsidRPr="00000000" w14:paraId="0000002F">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000000"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2"/>
            <w:shd w:fill="000000"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Information</w:t>
            </w:r>
          </w:p>
        </w:tc>
      </w:tr>
      <w:tr>
        <w:trPr>
          <w:cantSplit w:val="0"/>
          <w:trHeight w:val="2017"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university policy, the College of Law reserves the right not to consider any application or fill any post without giving any reason.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Candidates are required to submit complete latest C.V, License of High Court, two latest Passport Size Pictures and attested copies of all testimonial documents along with duly filled application form in the Admin Office of College of Law, University of Sargodha.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Prescribed application form can be downloaded from university website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(https://www .uos.edu .pk/adminForms)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complete in all respects should reach at the College of Law on or before 30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-09-2022 (Friday) till 02:00 PM.</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short listed candidates will be called for interview. List of short-listed candidates will be displayed on 30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-09-2022 (Friday) at 04:00PM.</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Interview of the short-listed candidates will be conducted on 03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-10-2022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Monday)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10:00A.M in the office of Incharge Principal, College of Law, University of Sargodha.</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applicants having provisional transcript will not be eligible for the visiting faculty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received after due date will not be entertained.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Candidates with relevant experience will be preferred.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Seats can be increased or decreased according to the availability of Credit Hours.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should be addressed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Incharge Principal, College of Law, University of Sargodha.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Online applications will not be accepted.</w:t>
            </w:r>
          </w:p>
        </w:tc>
      </w:tr>
    </w:tbl>
    <w:p w:rsidR="00000000" w:rsidDel="00000000" w:rsidP="00000000" w:rsidRDefault="00000000" w:rsidRPr="00000000" w14:paraId="00000046">
      <w:pPr>
        <w:spacing w:after="0" w:line="240"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Incharge Principal</w:t>
      </w:r>
    </w:p>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Law,</w:t>
      </w:r>
    </w:p>
    <w:p w:rsidR="00000000" w:rsidDel="00000000" w:rsidP="00000000" w:rsidRDefault="00000000" w:rsidRPr="00000000" w14:paraId="0000004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Sargodha</w:t>
      </w:r>
    </w:p>
    <w:sectPr>
      <w:pgSz w:h="16839" w:w="11907" w:orient="portrait"/>
      <w:pgMar w:bottom="5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